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296" w:rsidRPr="009D1ECB" w:rsidRDefault="00751296" w:rsidP="00BD7C52">
      <w:pPr>
        <w:spacing w:after="0" w:line="360" w:lineRule="auto"/>
        <w:ind w:left="284" w:hanging="284"/>
        <w:jc w:val="both"/>
        <w:rPr>
          <w:rFonts w:ascii="Calibri" w:eastAsia="Calibri" w:hAnsi="Calibri" w:cs="Times New Roman"/>
          <w:sz w:val="28"/>
          <w:szCs w:val="24"/>
          <w:lang w:val="en-US"/>
        </w:rPr>
      </w:pPr>
      <w:r>
        <w:rPr>
          <w:rFonts w:eastAsia="Calibri" w:cs="Times New Roman"/>
          <w:sz w:val="24"/>
          <w:lang w:val="en-US"/>
        </w:rPr>
        <w:t xml:space="preserve">AHA </w:t>
      </w:r>
      <w:r w:rsidRPr="00AF4810">
        <w:rPr>
          <w:rFonts w:eastAsia="Calibri" w:cs="Times New Roman"/>
          <w:sz w:val="24"/>
          <w:lang w:val="en-US"/>
        </w:rPr>
        <w:t xml:space="preserve">(2015). </w:t>
      </w:r>
      <w:proofErr w:type="gramStart"/>
      <w:r w:rsidRPr="00AF4810">
        <w:rPr>
          <w:rFonts w:eastAsia="Calibri" w:cs="Times New Roman"/>
          <w:sz w:val="24"/>
          <w:lang w:val="en-US"/>
        </w:rPr>
        <w:t>Partnering to improve quality and safety: A framework for working with patient and family advisors.</w:t>
      </w:r>
      <w:proofErr w:type="gramEnd"/>
      <w:r w:rsidRPr="00AF4810">
        <w:rPr>
          <w:rFonts w:eastAsia="Calibri" w:cs="Times New Roman"/>
          <w:sz w:val="24"/>
          <w:lang w:val="en-US"/>
        </w:rPr>
        <w:t xml:space="preserve"> </w:t>
      </w:r>
      <w:proofErr w:type="gramStart"/>
      <w:r w:rsidRPr="00AF4810">
        <w:rPr>
          <w:rFonts w:eastAsia="Calibri" w:cs="Times New Roman"/>
          <w:sz w:val="24"/>
          <w:lang w:val="en-US"/>
        </w:rPr>
        <w:t>Health Research &amp; Educational Trust.</w:t>
      </w:r>
      <w:proofErr w:type="gramEnd"/>
      <w:r w:rsidRPr="00AF4810">
        <w:rPr>
          <w:rFonts w:eastAsia="Calibri" w:cs="Times New Roman"/>
          <w:sz w:val="24"/>
          <w:lang w:val="en-US"/>
        </w:rPr>
        <w:t xml:space="preserve"> </w:t>
      </w:r>
      <w:proofErr w:type="spellStart"/>
      <w:r w:rsidRPr="009D1ECB">
        <w:rPr>
          <w:rFonts w:eastAsia="Calibri" w:cs="Times New Roman"/>
          <w:sz w:val="24"/>
          <w:lang w:val="en-US"/>
        </w:rPr>
        <w:t>Recuperado</w:t>
      </w:r>
      <w:proofErr w:type="spellEnd"/>
      <w:r w:rsidRPr="009D1ECB">
        <w:rPr>
          <w:rFonts w:eastAsia="Calibri" w:cs="Times New Roman"/>
          <w:sz w:val="24"/>
          <w:lang w:val="en-US"/>
        </w:rPr>
        <w:t xml:space="preserve"> de: </w:t>
      </w:r>
      <w:hyperlink r:id="rId6" w:history="1">
        <w:r w:rsidRPr="009D1ECB">
          <w:rPr>
            <w:rStyle w:val="Hipervnculo"/>
            <w:rFonts w:eastAsia="Calibri" w:cs="Times New Roman"/>
            <w:sz w:val="24"/>
            <w:lang w:val="en-US"/>
          </w:rPr>
          <w:t>https://www.aha.org/ahahret-guides/2015-03-26-partnering-improve-quality-and-safety-framework-working-patient-and</w:t>
        </w:r>
      </w:hyperlink>
      <w:r w:rsidRPr="009D1ECB">
        <w:rPr>
          <w:rFonts w:eastAsia="Calibri" w:cs="Times New Roman"/>
          <w:sz w:val="24"/>
          <w:lang w:val="en-US"/>
        </w:rPr>
        <w:t xml:space="preserve"> </w:t>
      </w:r>
    </w:p>
    <w:p w:rsidR="00751296" w:rsidRDefault="00751296" w:rsidP="008618AF">
      <w:pPr>
        <w:spacing w:after="0" w:line="360" w:lineRule="auto"/>
        <w:ind w:left="284" w:hanging="284"/>
        <w:jc w:val="both"/>
        <w:rPr>
          <w:rFonts w:ascii="Calibri" w:eastAsia="Calibri" w:hAnsi="Calibri" w:cs="Times New Roman"/>
          <w:sz w:val="24"/>
          <w:szCs w:val="24"/>
        </w:rPr>
      </w:pPr>
      <w:r w:rsidRPr="002076C0">
        <w:rPr>
          <w:rFonts w:ascii="Calibri" w:eastAsia="Calibri" w:hAnsi="Calibri" w:cs="Times New Roman"/>
          <w:sz w:val="24"/>
          <w:szCs w:val="24"/>
          <w:lang w:val="en-US"/>
        </w:rPr>
        <w:t xml:space="preserve">AHRQ: Agency of Healthcare Research and Quality (2011). </w:t>
      </w:r>
      <w:r w:rsidRPr="00056321">
        <w:rPr>
          <w:rFonts w:ascii="Calibri" w:eastAsia="Calibri" w:hAnsi="Calibri" w:cs="Times New Roman"/>
          <w:sz w:val="24"/>
          <w:szCs w:val="24"/>
        </w:rPr>
        <w:t xml:space="preserve">“Veinte consejos para ayudar a evitar errores médicos”. </w:t>
      </w:r>
      <w:r>
        <w:rPr>
          <w:rFonts w:ascii="Calibri" w:eastAsia="Calibri" w:hAnsi="Calibri" w:cs="Times New Roman"/>
          <w:sz w:val="24"/>
          <w:szCs w:val="24"/>
        </w:rPr>
        <w:t>Recuperado de</w:t>
      </w:r>
      <w:r w:rsidRPr="00056321">
        <w:rPr>
          <w:rFonts w:ascii="Calibri" w:eastAsia="Calibri" w:hAnsi="Calibri" w:cs="Times New Roman"/>
          <w:sz w:val="24"/>
          <w:szCs w:val="24"/>
        </w:rPr>
        <w:t xml:space="preserve">: </w:t>
      </w:r>
      <w:hyperlink r:id="rId7" w:history="1">
        <w:r w:rsidRPr="00D208DB">
          <w:rPr>
            <w:rStyle w:val="Hipervnculo"/>
            <w:rFonts w:ascii="Calibri" w:eastAsia="Calibri" w:hAnsi="Calibri" w:cs="Times New Roman"/>
            <w:sz w:val="24"/>
            <w:szCs w:val="24"/>
          </w:rPr>
          <w:t>https://www.ahrq.gov/patients-consumers/care-planning/errors/20tips/20tipssp.html</w:t>
        </w:r>
      </w:hyperlink>
    </w:p>
    <w:p w:rsidR="00751296" w:rsidRDefault="00751296" w:rsidP="00B02478">
      <w:pPr>
        <w:spacing w:after="0" w:line="360" w:lineRule="auto"/>
        <w:ind w:left="284" w:hanging="284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Caballero, Y. (2001). El reparto: la participación ciudadana en Las Cabezas de San Juan. Universidad Autónoma de Barcelona. Recuperado de</w:t>
      </w:r>
      <w:r w:rsidRPr="00801AD1">
        <w:rPr>
          <w:rFonts w:ascii="Calibri" w:eastAsia="Calibri" w:hAnsi="Calibri" w:cs="Times New Roman"/>
          <w:sz w:val="24"/>
          <w:szCs w:val="24"/>
        </w:rPr>
        <w:t xml:space="preserve">: </w:t>
      </w:r>
      <w:hyperlink r:id="rId8" w:history="1">
        <w:r w:rsidRPr="00D208DB">
          <w:rPr>
            <w:rStyle w:val="Hipervnculo"/>
            <w:rFonts w:ascii="Calibri" w:eastAsia="Calibri" w:hAnsi="Calibri" w:cs="Times New Roman"/>
            <w:sz w:val="24"/>
            <w:szCs w:val="24"/>
          </w:rPr>
          <w:t>https://ilusionismosocial.org/pluginfile.php/422/mod_resource/content/5/Reparto%20completo.pdf</w:t>
        </w:r>
      </w:hyperlink>
    </w:p>
    <w:p w:rsidR="00751296" w:rsidRPr="008E5839" w:rsidRDefault="00751296" w:rsidP="00B02478">
      <w:pPr>
        <w:spacing w:after="0" w:line="360" w:lineRule="auto"/>
        <w:ind w:left="284" w:hanging="284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Carrillo, MV. </w:t>
      </w:r>
      <w:proofErr w:type="gramStart"/>
      <w:r>
        <w:rPr>
          <w:rFonts w:ascii="Calibri" w:eastAsia="Calibri" w:hAnsi="Calibri" w:cs="Times New Roman"/>
          <w:sz w:val="24"/>
          <w:szCs w:val="24"/>
        </w:rPr>
        <w:t>y</w:t>
      </w:r>
      <w:proofErr w:type="gramEnd"/>
      <w:r>
        <w:rPr>
          <w:rFonts w:ascii="Calibri" w:eastAsia="Calibri" w:hAnsi="Calibri" w:cs="Times New Roman"/>
          <w:sz w:val="24"/>
          <w:szCs w:val="24"/>
        </w:rPr>
        <w:t xml:space="preserve"> Tato, JL. (2004). La nueva dimensión de comunicación empresarial en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e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entorno de los activos intangibles. </w:t>
      </w:r>
      <w:r w:rsidRPr="008E5839">
        <w:rPr>
          <w:rFonts w:ascii="Calibri" w:eastAsia="Calibri" w:hAnsi="Calibri" w:cs="Times New Roman"/>
          <w:sz w:val="24"/>
          <w:szCs w:val="24"/>
        </w:rPr>
        <w:t xml:space="preserve">Razón y palabra, 39.  Recuperado de: </w:t>
      </w:r>
      <w:hyperlink r:id="rId9" w:history="1">
        <w:r w:rsidRPr="0075627E">
          <w:rPr>
            <w:rStyle w:val="Hipervnculo"/>
            <w:rFonts w:ascii="Calibri" w:eastAsia="Calibri" w:hAnsi="Calibri" w:cs="Times New Roman"/>
            <w:sz w:val="24"/>
            <w:szCs w:val="24"/>
          </w:rPr>
          <w:t>https://dialnet.unirioja.es/ejemplar/93603</w:t>
        </w:r>
      </w:hyperlink>
      <w:r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751296" w:rsidRDefault="00751296" w:rsidP="00B02478">
      <w:pPr>
        <w:spacing w:after="0" w:line="360" w:lineRule="auto"/>
        <w:ind w:left="284" w:hanging="284"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proofErr w:type="spellStart"/>
      <w:r w:rsidRPr="008E5839">
        <w:rPr>
          <w:rFonts w:ascii="Calibri" w:eastAsia="Calibri" w:hAnsi="Calibri" w:cs="Times New Roman"/>
          <w:sz w:val="24"/>
          <w:szCs w:val="24"/>
          <w:lang w:val="fr-FR"/>
        </w:rPr>
        <w:t>Chassin</w:t>
      </w:r>
      <w:proofErr w:type="spellEnd"/>
      <w:r w:rsidRPr="008E5839">
        <w:rPr>
          <w:rFonts w:ascii="Calibri" w:eastAsia="Calibri" w:hAnsi="Calibri" w:cs="Times New Roman"/>
          <w:sz w:val="24"/>
          <w:szCs w:val="24"/>
          <w:lang w:val="fr-FR"/>
        </w:rPr>
        <w:t xml:space="preserve">, M. y Becher, E. (2002). </w:t>
      </w:r>
      <w:proofErr w:type="gramStart"/>
      <w:r w:rsidRPr="00B02478">
        <w:rPr>
          <w:rFonts w:ascii="Calibri" w:eastAsia="Calibri" w:hAnsi="Calibri" w:cs="Times New Roman"/>
          <w:sz w:val="24"/>
          <w:szCs w:val="24"/>
          <w:lang w:val="en-US"/>
        </w:rPr>
        <w:t>The Wrong Patient.</w:t>
      </w:r>
      <w:proofErr w:type="gramEnd"/>
      <w:r w:rsidRPr="00B02478">
        <w:rPr>
          <w:rFonts w:ascii="Calibri" w:eastAsia="Calibri" w:hAnsi="Calibri" w:cs="Times New Roman"/>
          <w:sz w:val="24"/>
          <w:szCs w:val="24"/>
          <w:lang w:val="en-US"/>
        </w:rPr>
        <w:t xml:space="preserve"> Annals</w:t>
      </w:r>
      <w:r>
        <w:rPr>
          <w:rFonts w:ascii="Calibri" w:eastAsia="Calibri" w:hAnsi="Calibri" w:cs="Times New Roman"/>
          <w:sz w:val="24"/>
          <w:szCs w:val="24"/>
          <w:lang w:val="en-US"/>
        </w:rPr>
        <w:t xml:space="preserve"> of Internal Medicine, 136(11)</w:t>
      </w:r>
      <w:proofErr w:type="gramStart"/>
      <w:r>
        <w:rPr>
          <w:rFonts w:ascii="Calibri" w:eastAsia="Calibri" w:hAnsi="Calibri" w:cs="Times New Roman"/>
          <w:sz w:val="24"/>
          <w:szCs w:val="24"/>
          <w:lang w:val="en-US"/>
        </w:rPr>
        <w:t>,</w:t>
      </w:r>
      <w:r w:rsidRPr="00B02478">
        <w:rPr>
          <w:rFonts w:ascii="Calibri" w:eastAsia="Calibri" w:hAnsi="Calibri" w:cs="Times New Roman"/>
          <w:sz w:val="24"/>
          <w:szCs w:val="24"/>
          <w:lang w:val="en-US"/>
        </w:rPr>
        <w:t>826</w:t>
      </w:r>
      <w:proofErr w:type="gramEnd"/>
      <w:r w:rsidRPr="00B02478">
        <w:rPr>
          <w:rFonts w:ascii="Calibri" w:eastAsia="Calibri" w:hAnsi="Calibri" w:cs="Times New Roman"/>
          <w:sz w:val="24"/>
          <w:szCs w:val="24"/>
          <w:lang w:val="en-US"/>
        </w:rPr>
        <w:t>-833.</w:t>
      </w:r>
    </w:p>
    <w:p w:rsidR="00751296" w:rsidRDefault="00751296" w:rsidP="00471997">
      <w:pPr>
        <w:spacing w:after="0" w:line="360" w:lineRule="auto"/>
        <w:ind w:left="284" w:hanging="284"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proofErr w:type="gramStart"/>
      <w:r w:rsidRPr="00471997">
        <w:rPr>
          <w:rFonts w:ascii="Calibri" w:eastAsia="Calibri" w:hAnsi="Calibri" w:cs="Times New Roman"/>
          <w:sz w:val="24"/>
          <w:szCs w:val="24"/>
          <w:lang w:val="en-US"/>
        </w:rPr>
        <w:t xml:space="preserve">Coulter, </w:t>
      </w:r>
      <w:r>
        <w:rPr>
          <w:rFonts w:ascii="Calibri" w:eastAsia="Calibri" w:hAnsi="Calibri" w:cs="Times New Roman"/>
          <w:sz w:val="24"/>
          <w:szCs w:val="24"/>
          <w:lang w:val="en-US"/>
        </w:rPr>
        <w:t>A.</w:t>
      </w:r>
      <w:r w:rsidRPr="00471997">
        <w:rPr>
          <w:rFonts w:ascii="Calibri" w:eastAsia="Calibri" w:hAnsi="Calibri" w:cs="Times New Roman"/>
          <w:sz w:val="24"/>
          <w:szCs w:val="24"/>
          <w:lang w:val="en-US"/>
        </w:rPr>
        <w:t xml:space="preserve"> (2011).</w:t>
      </w:r>
      <w:proofErr w:type="gramEnd"/>
      <w:r w:rsidRPr="00471997">
        <w:rPr>
          <w:rFonts w:ascii="Calibri" w:eastAsia="Calibri" w:hAnsi="Calibri" w:cs="Times New Roman"/>
          <w:sz w:val="24"/>
          <w:szCs w:val="24"/>
          <w:lang w:val="en-US"/>
        </w:rPr>
        <w:t xml:space="preserve"> </w:t>
      </w:r>
      <w:proofErr w:type="gramStart"/>
      <w:r w:rsidRPr="00471997">
        <w:rPr>
          <w:rFonts w:ascii="Calibri" w:eastAsia="Calibri" w:hAnsi="Calibri" w:cs="Times New Roman"/>
          <w:sz w:val="24"/>
          <w:szCs w:val="24"/>
          <w:lang w:val="en-US"/>
        </w:rPr>
        <w:t>Engaging patients in healthcare.</w:t>
      </w:r>
      <w:proofErr w:type="gramEnd"/>
      <w:r w:rsidRPr="00471997">
        <w:rPr>
          <w:rFonts w:ascii="Calibri" w:eastAsia="Calibri" w:hAnsi="Calibri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471997">
        <w:rPr>
          <w:rFonts w:ascii="Calibri" w:eastAsia="Calibri" w:hAnsi="Calibri" w:cs="Times New Roman"/>
          <w:sz w:val="24"/>
          <w:szCs w:val="24"/>
          <w:lang w:val="en-US"/>
        </w:rPr>
        <w:t>Edición</w:t>
      </w:r>
      <w:proofErr w:type="spellEnd"/>
      <w:r w:rsidRPr="00471997">
        <w:rPr>
          <w:rFonts w:ascii="Calibri" w:eastAsia="Calibri" w:hAnsi="Calibri" w:cs="Times New Roman"/>
          <w:sz w:val="24"/>
          <w:szCs w:val="24"/>
          <w:lang w:val="en-US"/>
        </w:rPr>
        <w:t xml:space="preserve"> de McGraw-Hill Education.</w:t>
      </w:r>
      <w:proofErr w:type="gramEnd"/>
      <w:r w:rsidRPr="00471997">
        <w:rPr>
          <w:rFonts w:ascii="Calibri" w:eastAsia="Calibri" w:hAnsi="Calibri" w:cs="Times New Roman"/>
          <w:sz w:val="24"/>
          <w:szCs w:val="24"/>
          <w:lang w:val="en-US"/>
        </w:rPr>
        <w:t xml:space="preserve"> Oxford: Oxford University Press.</w:t>
      </w:r>
    </w:p>
    <w:p w:rsidR="00751296" w:rsidRPr="00751296" w:rsidRDefault="00751296" w:rsidP="00577F14">
      <w:pPr>
        <w:spacing w:after="0" w:line="360" w:lineRule="auto"/>
        <w:ind w:left="284" w:hanging="284"/>
        <w:jc w:val="both"/>
        <w:rPr>
          <w:rFonts w:ascii="Calibri" w:eastAsia="Calibri" w:hAnsi="Calibri" w:cs="Times New Roman"/>
          <w:sz w:val="24"/>
          <w:szCs w:val="24"/>
          <w:lang w:val="fr-FR"/>
        </w:rPr>
      </w:pPr>
      <w:proofErr w:type="gramStart"/>
      <w:r w:rsidRPr="00577F14">
        <w:rPr>
          <w:rFonts w:ascii="Calibri" w:eastAsia="Calibri" w:hAnsi="Calibri" w:cs="Times New Roman"/>
          <w:sz w:val="24"/>
          <w:szCs w:val="24"/>
          <w:lang w:val="en-US"/>
        </w:rPr>
        <w:t>Coulter</w:t>
      </w:r>
      <w:r>
        <w:rPr>
          <w:rFonts w:ascii="Calibri" w:eastAsia="Calibri" w:hAnsi="Calibri" w:cs="Times New Roman"/>
          <w:sz w:val="24"/>
          <w:szCs w:val="24"/>
          <w:lang w:val="en-US"/>
        </w:rPr>
        <w:t>, A. y</w:t>
      </w:r>
      <w:r w:rsidRPr="00577F14">
        <w:rPr>
          <w:rFonts w:ascii="Calibri" w:eastAsia="Calibri" w:hAnsi="Calibri" w:cs="Times New Roman"/>
          <w:sz w:val="24"/>
          <w:szCs w:val="24"/>
          <w:lang w:val="en-US"/>
        </w:rPr>
        <w:t xml:space="preserve"> </w:t>
      </w:r>
      <w:proofErr w:type="spellStart"/>
      <w:r w:rsidRPr="00577F14">
        <w:rPr>
          <w:rFonts w:ascii="Calibri" w:eastAsia="Calibri" w:hAnsi="Calibri" w:cs="Times New Roman"/>
          <w:sz w:val="24"/>
          <w:szCs w:val="24"/>
          <w:lang w:val="en-US"/>
        </w:rPr>
        <w:t>Ellins</w:t>
      </w:r>
      <w:proofErr w:type="spellEnd"/>
      <w:r>
        <w:rPr>
          <w:rFonts w:ascii="Calibri" w:eastAsia="Calibri" w:hAnsi="Calibri" w:cs="Times New Roman"/>
          <w:sz w:val="24"/>
          <w:szCs w:val="24"/>
          <w:lang w:val="en-US"/>
        </w:rPr>
        <w:t>,</w:t>
      </w:r>
      <w:r w:rsidRPr="00577F14">
        <w:rPr>
          <w:rFonts w:ascii="Calibri" w:eastAsia="Calibri" w:hAnsi="Calibri" w:cs="Times New Roman"/>
          <w:sz w:val="24"/>
          <w:szCs w:val="24"/>
          <w:lang w:val="en-US"/>
        </w:rPr>
        <w:t xml:space="preserve"> J. (2007).</w:t>
      </w:r>
      <w:proofErr w:type="gramEnd"/>
      <w:r w:rsidRPr="00577F14">
        <w:rPr>
          <w:rFonts w:ascii="Calibri" w:eastAsia="Calibri" w:hAnsi="Calibri" w:cs="Times New Roman"/>
          <w:sz w:val="24"/>
          <w:szCs w:val="24"/>
          <w:lang w:val="en-US"/>
        </w:rPr>
        <w:t xml:space="preserve"> </w:t>
      </w:r>
      <w:proofErr w:type="gramStart"/>
      <w:r w:rsidRPr="00577F14">
        <w:rPr>
          <w:rFonts w:ascii="Calibri" w:eastAsia="Calibri" w:hAnsi="Calibri" w:cs="Times New Roman"/>
          <w:sz w:val="24"/>
          <w:szCs w:val="24"/>
          <w:lang w:val="en-US"/>
        </w:rPr>
        <w:t>Effectiveness of strategies for informing, educating and involving patients.</w:t>
      </w:r>
      <w:proofErr w:type="gramEnd"/>
      <w:r w:rsidRPr="00577F14">
        <w:rPr>
          <w:rFonts w:ascii="Calibri" w:eastAsia="Calibri" w:hAnsi="Calibri" w:cs="Times New Roman"/>
          <w:sz w:val="24"/>
          <w:szCs w:val="24"/>
          <w:lang w:val="en-US"/>
        </w:rPr>
        <w:t xml:space="preserve"> </w:t>
      </w:r>
      <w:r w:rsidRPr="00751296">
        <w:rPr>
          <w:rFonts w:ascii="Calibri" w:eastAsia="Calibri" w:hAnsi="Calibri" w:cs="Times New Roman"/>
          <w:sz w:val="24"/>
          <w:szCs w:val="24"/>
          <w:lang w:val="fr-FR"/>
        </w:rPr>
        <w:t xml:space="preserve">BMJ, 335:24. DOI: </w:t>
      </w:r>
      <w:hyperlink r:id="rId10" w:history="1">
        <w:r w:rsidRPr="00751296">
          <w:rPr>
            <w:rFonts w:cs="TradeGothic"/>
            <w:color w:val="0000FF"/>
            <w:sz w:val="24"/>
            <w:szCs w:val="24"/>
            <w:u w:val="single"/>
            <w:lang w:val="fr-FR"/>
          </w:rPr>
          <w:t>https://doi.org/10.1136/bmj.39246.581169.80</w:t>
        </w:r>
      </w:hyperlink>
    </w:p>
    <w:p w:rsidR="00751296" w:rsidRDefault="00751296" w:rsidP="006D0A37">
      <w:pPr>
        <w:spacing w:after="0" w:line="360" w:lineRule="auto"/>
        <w:ind w:left="284" w:hanging="284"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proofErr w:type="spellStart"/>
      <w:r w:rsidRPr="00751296">
        <w:rPr>
          <w:rFonts w:ascii="Calibri" w:eastAsia="Calibri" w:hAnsi="Calibri" w:cs="Times New Roman"/>
          <w:sz w:val="24"/>
          <w:szCs w:val="24"/>
          <w:lang w:val="fr-FR"/>
        </w:rPr>
        <w:t>Fajardo</w:t>
      </w:r>
      <w:proofErr w:type="spellEnd"/>
      <w:r w:rsidRPr="00751296">
        <w:rPr>
          <w:rFonts w:ascii="Calibri" w:eastAsia="Calibri" w:hAnsi="Calibri" w:cs="Times New Roman"/>
          <w:sz w:val="24"/>
          <w:szCs w:val="24"/>
          <w:lang w:val="fr-FR"/>
        </w:rPr>
        <w:t xml:space="preserve">, G. et al. (2010). </w:t>
      </w:r>
      <w:r w:rsidRPr="008F2791">
        <w:rPr>
          <w:rFonts w:ascii="Calibri" w:eastAsia="Calibri" w:hAnsi="Calibri" w:cs="Times New Roman"/>
          <w:sz w:val="24"/>
          <w:szCs w:val="24"/>
        </w:rPr>
        <w:t xml:space="preserve">Recomendaciones para la coparticipación del paciente y sus familiares en el cuidado de su seguridad en el hospital. </w:t>
      </w:r>
      <w:proofErr w:type="spellStart"/>
      <w:r w:rsidRPr="008F2791">
        <w:rPr>
          <w:rFonts w:ascii="Calibri" w:eastAsia="Calibri" w:hAnsi="Calibri" w:cs="Times New Roman"/>
          <w:sz w:val="24"/>
          <w:szCs w:val="24"/>
          <w:lang w:val="en-US"/>
        </w:rPr>
        <w:t>Revista</w:t>
      </w:r>
      <w:proofErr w:type="spellEnd"/>
      <w:r w:rsidRPr="008F2791">
        <w:rPr>
          <w:rFonts w:ascii="Calibri" w:eastAsia="Calibri" w:hAnsi="Calibri" w:cs="Times New Roman"/>
          <w:sz w:val="24"/>
          <w:szCs w:val="24"/>
          <w:lang w:val="en-US"/>
        </w:rPr>
        <w:t xml:space="preserve"> CONAMED</w:t>
      </w:r>
      <w:r w:rsidR="000B481D">
        <w:rPr>
          <w:rFonts w:ascii="Calibri" w:eastAsia="Calibri" w:hAnsi="Calibri" w:cs="Times New Roman"/>
          <w:sz w:val="24"/>
          <w:szCs w:val="24"/>
          <w:lang w:val="en-US"/>
        </w:rPr>
        <w:t xml:space="preserve">, </w:t>
      </w:r>
      <w:r>
        <w:rPr>
          <w:rFonts w:ascii="Calibri" w:eastAsia="Calibri" w:hAnsi="Calibri" w:cs="Times New Roman"/>
          <w:sz w:val="24"/>
          <w:szCs w:val="24"/>
          <w:lang w:val="en-US"/>
        </w:rPr>
        <w:t>15(1),</w:t>
      </w:r>
      <w:r w:rsidRPr="008F2791">
        <w:rPr>
          <w:rFonts w:ascii="Calibri" w:eastAsia="Calibri" w:hAnsi="Calibri" w:cs="Times New Roman"/>
          <w:sz w:val="24"/>
          <w:szCs w:val="24"/>
          <w:lang w:val="en-US"/>
        </w:rPr>
        <w:t>43-56.</w:t>
      </w:r>
    </w:p>
    <w:p w:rsidR="00751296" w:rsidRDefault="00751296" w:rsidP="00BD7C52">
      <w:pPr>
        <w:spacing w:after="0" w:line="360" w:lineRule="auto"/>
        <w:ind w:left="284" w:hanging="284"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r w:rsidRPr="00CE328B">
        <w:rPr>
          <w:rFonts w:ascii="Calibri" w:eastAsia="Calibri" w:hAnsi="Calibri" w:cs="Times New Roman"/>
          <w:sz w:val="24"/>
          <w:szCs w:val="24"/>
          <w:lang w:val="en-US"/>
        </w:rPr>
        <w:t>Kemper, C. et al. (2013). Engaging patients and families in system-level improvement: a safety imperative. Nursing Administration Quarterly</w:t>
      </w:r>
      <w:r>
        <w:rPr>
          <w:rFonts w:ascii="Calibri" w:eastAsia="Calibri" w:hAnsi="Calibri" w:cs="Times New Roman"/>
          <w:sz w:val="24"/>
          <w:szCs w:val="24"/>
          <w:lang w:val="en-US"/>
        </w:rPr>
        <w:t>, 37(3)</w:t>
      </w:r>
      <w:proofErr w:type="gramStart"/>
      <w:r>
        <w:rPr>
          <w:rFonts w:ascii="Calibri" w:eastAsia="Calibri" w:hAnsi="Calibri" w:cs="Times New Roman"/>
          <w:sz w:val="24"/>
          <w:szCs w:val="24"/>
          <w:lang w:val="en-US"/>
        </w:rPr>
        <w:t>,</w:t>
      </w:r>
      <w:r w:rsidRPr="00CE328B">
        <w:rPr>
          <w:rFonts w:ascii="Calibri" w:eastAsia="Calibri" w:hAnsi="Calibri" w:cs="Times New Roman"/>
          <w:sz w:val="24"/>
          <w:szCs w:val="24"/>
          <w:lang w:val="en-US"/>
        </w:rPr>
        <w:t>203</w:t>
      </w:r>
      <w:proofErr w:type="gramEnd"/>
      <w:r w:rsidRPr="00CE328B">
        <w:rPr>
          <w:rFonts w:ascii="Calibri" w:eastAsia="Calibri" w:hAnsi="Calibri" w:cs="Times New Roman"/>
          <w:sz w:val="24"/>
          <w:szCs w:val="24"/>
          <w:lang w:val="en-US"/>
        </w:rPr>
        <w:t>-215.</w:t>
      </w:r>
    </w:p>
    <w:p w:rsidR="00751296" w:rsidRPr="009D1ECB" w:rsidRDefault="00751296" w:rsidP="00FD4EEC">
      <w:pPr>
        <w:spacing w:after="0" w:line="360" w:lineRule="auto"/>
        <w:ind w:left="284" w:hanging="284"/>
        <w:jc w:val="both"/>
        <w:rPr>
          <w:rFonts w:ascii="Calibri" w:eastAsia="Calibri" w:hAnsi="Calibri" w:cs="Times New Roman"/>
          <w:sz w:val="24"/>
          <w:szCs w:val="24"/>
        </w:rPr>
      </w:pPr>
      <w:proofErr w:type="spellStart"/>
      <w:r w:rsidRPr="00CA1E3E">
        <w:rPr>
          <w:rFonts w:ascii="Calibri" w:eastAsia="Calibri" w:hAnsi="Calibri" w:cs="Times New Roman"/>
          <w:sz w:val="24"/>
          <w:szCs w:val="24"/>
          <w:lang w:val="en-US"/>
        </w:rPr>
        <w:t>Longtin</w:t>
      </w:r>
      <w:proofErr w:type="spellEnd"/>
      <w:r>
        <w:rPr>
          <w:rFonts w:ascii="Calibri" w:eastAsia="Calibri" w:hAnsi="Calibri" w:cs="Times New Roman"/>
          <w:sz w:val="24"/>
          <w:szCs w:val="24"/>
          <w:lang w:val="en-US"/>
        </w:rPr>
        <w:t>, Y.,</w:t>
      </w:r>
      <w:r w:rsidRPr="00CA1E3E">
        <w:rPr>
          <w:rFonts w:ascii="Calibri" w:eastAsia="Calibri" w:hAnsi="Calibri" w:cs="Times New Roman"/>
          <w:sz w:val="24"/>
          <w:szCs w:val="24"/>
          <w:lang w:val="en-US"/>
        </w:rPr>
        <w:t xml:space="preserve"> Sax</w:t>
      </w:r>
      <w:r>
        <w:rPr>
          <w:rFonts w:ascii="Calibri" w:eastAsia="Calibri" w:hAnsi="Calibri" w:cs="Times New Roman"/>
          <w:sz w:val="24"/>
          <w:szCs w:val="24"/>
          <w:lang w:val="en-US"/>
        </w:rPr>
        <w:t>,</w:t>
      </w:r>
      <w:r w:rsidRPr="00CA1E3E">
        <w:rPr>
          <w:rFonts w:ascii="Calibri" w:eastAsia="Calibri" w:hAnsi="Calibri" w:cs="Times New Roman"/>
          <w:sz w:val="24"/>
          <w:szCs w:val="24"/>
          <w:lang w:val="en-US"/>
        </w:rPr>
        <w:t xml:space="preserve"> H</w:t>
      </w:r>
      <w:r>
        <w:rPr>
          <w:rFonts w:ascii="Calibri" w:eastAsia="Calibri" w:hAnsi="Calibri" w:cs="Times New Roman"/>
          <w:sz w:val="24"/>
          <w:szCs w:val="24"/>
          <w:lang w:val="en-US"/>
        </w:rPr>
        <w:t>.</w:t>
      </w:r>
      <w:r w:rsidRPr="00CA1E3E">
        <w:rPr>
          <w:rFonts w:ascii="Calibri" w:eastAsia="Calibri" w:hAnsi="Calibri" w:cs="Times New Roman"/>
          <w:sz w:val="24"/>
          <w:szCs w:val="24"/>
          <w:lang w:val="en-US"/>
        </w:rPr>
        <w:t xml:space="preserve">, </w:t>
      </w:r>
      <w:proofErr w:type="spellStart"/>
      <w:r w:rsidRPr="00CA1E3E">
        <w:rPr>
          <w:rFonts w:ascii="Calibri" w:eastAsia="Calibri" w:hAnsi="Calibri" w:cs="Times New Roman"/>
          <w:sz w:val="24"/>
          <w:szCs w:val="24"/>
          <w:lang w:val="en-US"/>
        </w:rPr>
        <w:t>Leape</w:t>
      </w:r>
      <w:proofErr w:type="spellEnd"/>
      <w:r>
        <w:rPr>
          <w:rFonts w:ascii="Calibri" w:eastAsia="Calibri" w:hAnsi="Calibri" w:cs="Times New Roman"/>
          <w:sz w:val="24"/>
          <w:szCs w:val="24"/>
          <w:lang w:val="en-US"/>
        </w:rPr>
        <w:t>,</w:t>
      </w:r>
      <w:r w:rsidRPr="00CA1E3E">
        <w:rPr>
          <w:rFonts w:ascii="Calibri" w:eastAsia="Calibri" w:hAnsi="Calibri" w:cs="Times New Roman"/>
          <w:sz w:val="24"/>
          <w:szCs w:val="24"/>
          <w:lang w:val="en-US"/>
        </w:rPr>
        <w:t xml:space="preserve"> L</w:t>
      </w:r>
      <w:r>
        <w:rPr>
          <w:rFonts w:ascii="Calibri" w:eastAsia="Calibri" w:hAnsi="Calibri" w:cs="Times New Roman"/>
          <w:sz w:val="24"/>
          <w:szCs w:val="24"/>
          <w:lang w:val="en-US"/>
        </w:rPr>
        <w:t>.</w:t>
      </w:r>
      <w:r w:rsidRPr="00CA1E3E">
        <w:rPr>
          <w:rFonts w:ascii="Calibri" w:eastAsia="Calibri" w:hAnsi="Calibri" w:cs="Times New Roman"/>
          <w:sz w:val="24"/>
          <w:szCs w:val="24"/>
          <w:lang w:val="en-US"/>
        </w:rPr>
        <w:t>, Sheridan</w:t>
      </w:r>
      <w:r>
        <w:rPr>
          <w:rFonts w:ascii="Calibri" w:eastAsia="Calibri" w:hAnsi="Calibri" w:cs="Times New Roman"/>
          <w:sz w:val="24"/>
          <w:szCs w:val="24"/>
          <w:lang w:val="en-US"/>
        </w:rPr>
        <w:t>,</w:t>
      </w:r>
      <w:r w:rsidRPr="00CA1E3E">
        <w:rPr>
          <w:rFonts w:ascii="Calibri" w:eastAsia="Calibri" w:hAnsi="Calibri" w:cs="Times New Roman"/>
          <w:sz w:val="24"/>
          <w:szCs w:val="24"/>
          <w:lang w:val="en-US"/>
        </w:rPr>
        <w:t xml:space="preserve"> S</w:t>
      </w:r>
      <w:r>
        <w:rPr>
          <w:rFonts w:ascii="Calibri" w:eastAsia="Calibri" w:hAnsi="Calibri" w:cs="Times New Roman"/>
          <w:sz w:val="24"/>
          <w:szCs w:val="24"/>
          <w:lang w:val="en-US"/>
        </w:rPr>
        <w:t>.</w:t>
      </w:r>
      <w:r w:rsidRPr="00CA1E3E">
        <w:rPr>
          <w:rFonts w:ascii="Calibri" w:eastAsia="Calibri" w:hAnsi="Calibri" w:cs="Times New Roman"/>
          <w:sz w:val="24"/>
          <w:szCs w:val="24"/>
          <w:lang w:val="en-US"/>
        </w:rPr>
        <w:t>, Donaldson</w:t>
      </w:r>
      <w:r>
        <w:rPr>
          <w:rFonts w:ascii="Calibri" w:eastAsia="Calibri" w:hAnsi="Calibri" w:cs="Times New Roman"/>
          <w:sz w:val="24"/>
          <w:szCs w:val="24"/>
          <w:lang w:val="en-US"/>
        </w:rPr>
        <w:t>,</w:t>
      </w:r>
      <w:r w:rsidRPr="00CA1E3E">
        <w:rPr>
          <w:rFonts w:ascii="Calibri" w:eastAsia="Calibri" w:hAnsi="Calibri" w:cs="Times New Roman"/>
          <w:sz w:val="24"/>
          <w:szCs w:val="24"/>
          <w:lang w:val="en-US"/>
        </w:rPr>
        <w:t xml:space="preserve"> L</w:t>
      </w:r>
      <w:r>
        <w:rPr>
          <w:rFonts w:ascii="Calibri" w:eastAsia="Calibri" w:hAnsi="Calibri" w:cs="Times New Roman"/>
          <w:sz w:val="24"/>
          <w:szCs w:val="24"/>
          <w:lang w:val="en-US"/>
        </w:rPr>
        <w:t>. y</w:t>
      </w:r>
      <w:r w:rsidRPr="00CA1E3E">
        <w:rPr>
          <w:rFonts w:ascii="Calibri" w:eastAsia="Calibri" w:hAnsi="Calibri" w:cs="Times New Roman"/>
          <w:sz w:val="24"/>
          <w:szCs w:val="24"/>
          <w:lang w:val="en-US"/>
        </w:rPr>
        <w:t xml:space="preserve"> </w:t>
      </w:r>
      <w:proofErr w:type="spellStart"/>
      <w:r w:rsidRPr="00CA1E3E">
        <w:rPr>
          <w:rFonts w:ascii="Calibri" w:eastAsia="Calibri" w:hAnsi="Calibri" w:cs="Times New Roman"/>
          <w:sz w:val="24"/>
          <w:szCs w:val="24"/>
          <w:lang w:val="en-US"/>
        </w:rPr>
        <w:t>Pittet</w:t>
      </w:r>
      <w:proofErr w:type="spellEnd"/>
      <w:r>
        <w:rPr>
          <w:rFonts w:ascii="Calibri" w:eastAsia="Calibri" w:hAnsi="Calibri" w:cs="Times New Roman"/>
          <w:sz w:val="24"/>
          <w:szCs w:val="24"/>
          <w:lang w:val="en-US"/>
        </w:rPr>
        <w:t>,</w:t>
      </w:r>
      <w:r w:rsidRPr="00CA1E3E">
        <w:rPr>
          <w:rFonts w:ascii="Calibri" w:eastAsia="Calibri" w:hAnsi="Calibri" w:cs="Times New Roman"/>
          <w:sz w:val="24"/>
          <w:szCs w:val="24"/>
          <w:lang w:val="en-US"/>
        </w:rPr>
        <w:t xml:space="preserve"> D. </w:t>
      </w:r>
      <w:r>
        <w:rPr>
          <w:rFonts w:ascii="Calibri" w:eastAsia="Calibri" w:hAnsi="Calibri" w:cs="Times New Roman"/>
          <w:sz w:val="24"/>
          <w:szCs w:val="24"/>
          <w:lang w:val="en-US"/>
        </w:rPr>
        <w:t xml:space="preserve">(2010). </w:t>
      </w:r>
      <w:r w:rsidRPr="00CA1E3E">
        <w:rPr>
          <w:rFonts w:ascii="Calibri" w:eastAsia="Calibri" w:hAnsi="Calibri" w:cs="Times New Roman"/>
          <w:sz w:val="24"/>
          <w:szCs w:val="24"/>
          <w:lang w:val="en-US"/>
        </w:rPr>
        <w:t xml:space="preserve">Patient participation: current knowledge and applicability to patient safety. </w:t>
      </w:r>
      <w:r>
        <w:rPr>
          <w:rFonts w:ascii="Calibri" w:eastAsia="Calibri" w:hAnsi="Calibri" w:cs="Times New Roman"/>
          <w:sz w:val="24"/>
          <w:szCs w:val="24"/>
          <w:lang w:val="en-US"/>
        </w:rPr>
        <w:t xml:space="preserve">Mayo Clinic Proceedings, </w:t>
      </w:r>
      <w:r w:rsidRPr="00CA1E3E">
        <w:rPr>
          <w:rFonts w:ascii="Calibri" w:eastAsia="Calibri" w:hAnsi="Calibri" w:cs="Times New Roman"/>
          <w:sz w:val="24"/>
          <w:szCs w:val="24"/>
          <w:lang w:val="en-US"/>
        </w:rPr>
        <w:t xml:space="preserve">85(1):53-62. </w:t>
      </w:r>
      <w:r w:rsidRPr="009D1ECB">
        <w:rPr>
          <w:rFonts w:ascii="Calibri" w:eastAsia="Calibri" w:hAnsi="Calibri" w:cs="Times New Roman"/>
          <w:sz w:val="24"/>
          <w:szCs w:val="24"/>
        </w:rPr>
        <w:t>DOI:</w:t>
      </w:r>
      <w:r w:rsidRPr="0028518B">
        <w:rPr>
          <w:sz w:val="24"/>
        </w:rPr>
        <w:t> </w:t>
      </w:r>
      <w:hyperlink r:id="rId11" w:tgtFrame="pmc_ext" w:history="1">
        <w:r w:rsidRPr="0028518B">
          <w:rPr>
            <w:color w:val="0000FF"/>
            <w:sz w:val="24"/>
            <w:u w:val="single"/>
          </w:rPr>
          <w:t>10.4065/mcp.2009.0248</w:t>
        </w:r>
      </w:hyperlink>
    </w:p>
    <w:p w:rsidR="00751296" w:rsidRDefault="00751296" w:rsidP="009F6458">
      <w:pPr>
        <w:spacing w:after="0" w:line="360" w:lineRule="auto"/>
        <w:ind w:left="284" w:hanging="284"/>
        <w:jc w:val="both"/>
        <w:rPr>
          <w:rFonts w:ascii="Calibri" w:eastAsia="Calibri" w:hAnsi="Calibri" w:cs="Times New Roman"/>
          <w:sz w:val="24"/>
          <w:szCs w:val="24"/>
        </w:rPr>
      </w:pPr>
      <w:r w:rsidRPr="009D1ECB">
        <w:rPr>
          <w:rFonts w:ascii="Calibri" w:eastAsia="Calibri" w:hAnsi="Calibri" w:cs="Times New Roman"/>
          <w:sz w:val="24"/>
          <w:szCs w:val="24"/>
        </w:rPr>
        <w:t xml:space="preserve">OMS (2007). </w:t>
      </w:r>
      <w:r w:rsidRPr="00801AD1">
        <w:rPr>
          <w:rFonts w:ascii="Calibri" w:eastAsia="Calibri" w:hAnsi="Calibri" w:cs="Times New Roman"/>
          <w:sz w:val="24"/>
          <w:szCs w:val="24"/>
        </w:rPr>
        <w:t xml:space="preserve">Soluciones para la Seguridad del Paciente. </w:t>
      </w:r>
      <w:r>
        <w:rPr>
          <w:rFonts w:ascii="Calibri" w:eastAsia="Calibri" w:hAnsi="Calibri" w:cs="Times New Roman"/>
          <w:sz w:val="24"/>
          <w:szCs w:val="24"/>
        </w:rPr>
        <w:t>Identificación del paciente, volumen 1, solución 2: 8-</w:t>
      </w:r>
      <w:r>
        <w:rPr>
          <w:rFonts w:ascii="Calibri" w:eastAsia="Calibri" w:hAnsi="Calibri" w:cs="Times New Roman"/>
          <w:sz w:val="24"/>
          <w:szCs w:val="24"/>
        </w:rPr>
        <w:softHyphen/>
        <w:t>11.</w:t>
      </w:r>
      <w:r w:rsidRPr="00801AD1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Recuperado de</w:t>
      </w:r>
      <w:r w:rsidRPr="00801AD1">
        <w:rPr>
          <w:rFonts w:ascii="Calibri" w:eastAsia="Calibri" w:hAnsi="Calibri" w:cs="Times New Roman"/>
          <w:sz w:val="24"/>
          <w:szCs w:val="24"/>
        </w:rPr>
        <w:t xml:space="preserve">: </w:t>
      </w:r>
      <w:hyperlink r:id="rId12" w:history="1">
        <w:r w:rsidRPr="00E74560">
          <w:rPr>
            <w:rStyle w:val="Hipervnculo"/>
            <w:rFonts w:ascii="Calibri" w:eastAsia="Calibri" w:hAnsi="Calibri" w:cs="Times New Roman"/>
            <w:sz w:val="24"/>
            <w:szCs w:val="24"/>
          </w:rPr>
          <w:t>https://www.who.int/patientsafety/solutions/patientsafety/PatientSolutionsSPANISH.pdf?ua=1</w:t>
        </w:r>
      </w:hyperlink>
      <w:r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751296" w:rsidRPr="00BD7C52" w:rsidRDefault="00751296" w:rsidP="009F6458">
      <w:pPr>
        <w:spacing w:after="0" w:line="360" w:lineRule="auto"/>
        <w:ind w:left="284" w:hanging="284"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r w:rsidRPr="009F6458">
        <w:rPr>
          <w:rFonts w:ascii="Calibri" w:eastAsia="Calibri" w:hAnsi="Calibri" w:cs="Times New Roman"/>
          <w:sz w:val="24"/>
          <w:szCs w:val="24"/>
        </w:rPr>
        <w:lastRenderedPageBreak/>
        <w:t xml:space="preserve">Sánchez, J. y Rodríguez, P. (2011). Podemos y debemos mejorar la higiene de manos. </w:t>
      </w:r>
      <w:proofErr w:type="spellStart"/>
      <w:r w:rsidRPr="009F6458">
        <w:rPr>
          <w:rFonts w:ascii="Calibri" w:eastAsia="Calibri" w:hAnsi="Calibri" w:cs="Times New Roman"/>
          <w:sz w:val="24"/>
          <w:szCs w:val="24"/>
          <w:lang w:val="en-US"/>
        </w:rPr>
        <w:t>Tú</w:t>
      </w:r>
      <w:proofErr w:type="spellEnd"/>
      <w:r w:rsidRPr="009F6458">
        <w:rPr>
          <w:rFonts w:ascii="Calibri" w:eastAsia="Calibri" w:hAnsi="Calibri" w:cs="Times New Roman"/>
          <w:sz w:val="24"/>
          <w:szCs w:val="24"/>
          <w:lang w:val="en-US"/>
        </w:rPr>
        <w:t xml:space="preserve"> decides. </w:t>
      </w:r>
      <w:proofErr w:type="spellStart"/>
      <w:r w:rsidRPr="009F6458">
        <w:rPr>
          <w:rFonts w:ascii="Calibri" w:eastAsia="Calibri" w:hAnsi="Calibri" w:cs="Times New Roman"/>
          <w:sz w:val="24"/>
          <w:szCs w:val="24"/>
          <w:lang w:val="en-US"/>
        </w:rPr>
        <w:t>Enfermedades</w:t>
      </w:r>
      <w:proofErr w:type="spellEnd"/>
      <w:r w:rsidRPr="009F6458">
        <w:rPr>
          <w:rFonts w:ascii="Calibri" w:eastAsia="Calibri" w:hAnsi="Calibri" w:cs="Times New Roman"/>
          <w:sz w:val="24"/>
          <w:szCs w:val="24"/>
          <w:lang w:val="en-US"/>
        </w:rPr>
        <w:t xml:space="preserve"> </w:t>
      </w:r>
      <w:proofErr w:type="spellStart"/>
      <w:r w:rsidRPr="009F6458">
        <w:rPr>
          <w:rFonts w:ascii="Calibri" w:eastAsia="Calibri" w:hAnsi="Calibri" w:cs="Times New Roman"/>
          <w:sz w:val="24"/>
          <w:szCs w:val="24"/>
          <w:lang w:val="en-US"/>
        </w:rPr>
        <w:t>Infecciosas</w:t>
      </w:r>
      <w:proofErr w:type="spellEnd"/>
      <w:r w:rsidRPr="009F6458">
        <w:rPr>
          <w:rFonts w:ascii="Calibri" w:eastAsia="Calibri" w:hAnsi="Calibri" w:cs="Times New Roman"/>
          <w:sz w:val="24"/>
          <w:szCs w:val="24"/>
          <w:lang w:val="en-US"/>
        </w:rPr>
        <w:t xml:space="preserve"> </w:t>
      </w:r>
      <w:r w:rsidRPr="00BD7C52">
        <w:rPr>
          <w:rFonts w:ascii="Calibri" w:eastAsia="Calibri" w:hAnsi="Calibri" w:cs="Times New Roman"/>
          <w:sz w:val="24"/>
          <w:szCs w:val="24"/>
          <w:lang w:val="en-US"/>
        </w:rPr>
        <w:t xml:space="preserve">y </w:t>
      </w:r>
      <w:proofErr w:type="spellStart"/>
      <w:r w:rsidRPr="009F6458">
        <w:rPr>
          <w:rFonts w:ascii="Calibri" w:eastAsia="Calibri" w:hAnsi="Calibri" w:cs="Times New Roman"/>
          <w:sz w:val="24"/>
          <w:szCs w:val="24"/>
          <w:lang w:val="en-US"/>
        </w:rPr>
        <w:t>Microbiol</w:t>
      </w:r>
      <w:r w:rsidRPr="00BD7C52">
        <w:rPr>
          <w:rFonts w:ascii="Calibri" w:eastAsia="Calibri" w:hAnsi="Calibri" w:cs="Times New Roman"/>
          <w:sz w:val="24"/>
          <w:szCs w:val="24"/>
          <w:lang w:val="en-US"/>
        </w:rPr>
        <w:t>ogía</w:t>
      </w:r>
      <w:proofErr w:type="spellEnd"/>
      <w:r w:rsidRPr="009F6458">
        <w:rPr>
          <w:rFonts w:ascii="Calibri" w:eastAsia="Calibri" w:hAnsi="Calibri" w:cs="Times New Roman"/>
          <w:sz w:val="24"/>
          <w:szCs w:val="24"/>
          <w:lang w:val="en-US"/>
        </w:rPr>
        <w:t xml:space="preserve"> </w:t>
      </w:r>
      <w:proofErr w:type="spellStart"/>
      <w:r w:rsidRPr="009F6458">
        <w:rPr>
          <w:rFonts w:ascii="Calibri" w:eastAsia="Calibri" w:hAnsi="Calibri" w:cs="Times New Roman"/>
          <w:sz w:val="24"/>
          <w:szCs w:val="24"/>
          <w:lang w:val="en-US"/>
        </w:rPr>
        <w:t>Clín</w:t>
      </w:r>
      <w:r w:rsidRPr="00BD7C52">
        <w:rPr>
          <w:rFonts w:ascii="Calibri" w:eastAsia="Calibri" w:hAnsi="Calibri" w:cs="Times New Roman"/>
          <w:sz w:val="24"/>
          <w:szCs w:val="24"/>
          <w:lang w:val="en-US"/>
        </w:rPr>
        <w:t>ica</w:t>
      </w:r>
      <w:proofErr w:type="spellEnd"/>
      <w:r w:rsidRPr="009F6458">
        <w:rPr>
          <w:rFonts w:ascii="Calibri" w:eastAsia="Calibri" w:hAnsi="Calibri" w:cs="Times New Roman"/>
          <w:sz w:val="24"/>
          <w:szCs w:val="24"/>
          <w:lang w:val="en-US"/>
        </w:rPr>
        <w:t>, 29(1)</w:t>
      </w:r>
      <w:proofErr w:type="gramStart"/>
      <w:r w:rsidRPr="009F6458">
        <w:rPr>
          <w:rFonts w:ascii="Calibri" w:eastAsia="Calibri" w:hAnsi="Calibri" w:cs="Times New Roman"/>
          <w:sz w:val="24"/>
          <w:szCs w:val="24"/>
          <w:lang w:val="en-US"/>
        </w:rPr>
        <w:t>,1</w:t>
      </w:r>
      <w:proofErr w:type="gramEnd"/>
      <w:r w:rsidRPr="009F6458">
        <w:rPr>
          <w:rFonts w:ascii="Calibri" w:eastAsia="Calibri" w:hAnsi="Calibri" w:cs="Times New Roman"/>
          <w:sz w:val="24"/>
          <w:szCs w:val="24"/>
          <w:lang w:val="en-US"/>
        </w:rPr>
        <w:t>-3.</w:t>
      </w:r>
    </w:p>
    <w:p w:rsidR="00751296" w:rsidRPr="002076C0" w:rsidRDefault="00751296" w:rsidP="002076C0">
      <w:pPr>
        <w:spacing w:after="0" w:line="360" w:lineRule="auto"/>
        <w:ind w:left="284" w:hanging="284"/>
        <w:jc w:val="both"/>
        <w:rPr>
          <w:rFonts w:ascii="Calibri" w:eastAsia="Calibri" w:hAnsi="Calibri" w:cs="Times New Roman"/>
          <w:sz w:val="24"/>
          <w:szCs w:val="24"/>
        </w:rPr>
      </w:pPr>
      <w:proofErr w:type="gramStart"/>
      <w:r w:rsidRPr="00BD7C52">
        <w:rPr>
          <w:rFonts w:ascii="Calibri" w:eastAsia="Calibri" w:hAnsi="Calibri" w:cs="Times New Roman"/>
          <w:sz w:val="24"/>
          <w:szCs w:val="24"/>
          <w:lang w:val="en-US"/>
        </w:rPr>
        <w:t>The Health Foundation (2013).</w:t>
      </w:r>
      <w:proofErr w:type="gramEnd"/>
      <w:r w:rsidRPr="00BD7C52">
        <w:rPr>
          <w:rFonts w:ascii="Calibri" w:eastAsia="Calibri" w:hAnsi="Calibri" w:cs="Times New Roman"/>
          <w:sz w:val="24"/>
          <w:szCs w:val="24"/>
          <w:lang w:val="en-US"/>
        </w:rPr>
        <w:t xml:space="preserve"> Evidence scan: Involving patients in improving safety. </w:t>
      </w:r>
      <w:r w:rsidRPr="00BD7C52">
        <w:rPr>
          <w:rFonts w:ascii="Calibri" w:eastAsia="Calibri" w:hAnsi="Calibri" w:cs="Times New Roman"/>
          <w:sz w:val="24"/>
          <w:szCs w:val="24"/>
        </w:rPr>
        <w:t xml:space="preserve">Recuperado de:  </w:t>
      </w:r>
      <w:hyperlink r:id="rId13" w:history="1">
        <w:r w:rsidRPr="00BD7C52">
          <w:rPr>
            <w:rFonts w:ascii="Calibri" w:eastAsia="Calibri" w:hAnsi="Calibri" w:cs="Times New Roman"/>
            <w:sz w:val="24"/>
            <w:szCs w:val="24"/>
          </w:rPr>
          <w:t>http://www.health.org.uk/sit</w:t>
        </w:r>
        <w:r w:rsidRPr="002076C0">
          <w:rPr>
            <w:rFonts w:ascii="Calibri" w:eastAsia="Calibri" w:hAnsi="Calibri" w:cs="Times New Roman"/>
            <w:sz w:val="24"/>
            <w:szCs w:val="24"/>
          </w:rPr>
          <w:t>es/health/files/InvolvingPatientsInImprovingSafety.pdf</w:t>
        </w:r>
      </w:hyperlink>
      <w:r w:rsidRPr="002076C0">
        <w:rPr>
          <w:rFonts w:ascii="Calibri" w:eastAsia="Calibri" w:hAnsi="Calibri" w:cs="Times New Roman"/>
          <w:sz w:val="24"/>
          <w:szCs w:val="24"/>
        </w:rPr>
        <w:t xml:space="preserve">  </w:t>
      </w:r>
    </w:p>
    <w:p w:rsidR="00751296" w:rsidRPr="007132D3" w:rsidRDefault="00751296" w:rsidP="00577F14">
      <w:pPr>
        <w:spacing w:after="0" w:line="360" w:lineRule="auto"/>
        <w:ind w:left="284" w:hanging="284"/>
        <w:jc w:val="both"/>
        <w:rPr>
          <w:rFonts w:ascii="Calibri" w:eastAsia="Calibri" w:hAnsi="Calibri" w:cs="Times New Roman"/>
          <w:sz w:val="24"/>
          <w:szCs w:val="24"/>
        </w:rPr>
      </w:pPr>
      <w:proofErr w:type="gramStart"/>
      <w:r>
        <w:rPr>
          <w:rFonts w:ascii="Calibri" w:eastAsia="Calibri" w:hAnsi="Calibri" w:cs="Times New Roman"/>
          <w:sz w:val="24"/>
          <w:szCs w:val="24"/>
          <w:lang w:val="en-US"/>
        </w:rPr>
        <w:t xml:space="preserve">The Joint Commission </w:t>
      </w:r>
      <w:r w:rsidRPr="00577F14">
        <w:rPr>
          <w:rFonts w:ascii="Calibri" w:eastAsia="Calibri" w:hAnsi="Calibri" w:cs="Times New Roman"/>
          <w:sz w:val="24"/>
          <w:szCs w:val="24"/>
          <w:lang w:val="en-US"/>
        </w:rPr>
        <w:t>(2002).</w:t>
      </w:r>
      <w:proofErr w:type="gramEnd"/>
      <w:r w:rsidRPr="00577F14">
        <w:rPr>
          <w:rFonts w:ascii="Calibri" w:eastAsia="Calibri" w:hAnsi="Calibri" w:cs="Times New Roman"/>
          <w:sz w:val="24"/>
          <w:szCs w:val="24"/>
          <w:lang w:val="en-US"/>
        </w:rPr>
        <w:t xml:space="preserve"> </w:t>
      </w:r>
      <w:r w:rsidRPr="009D1ECB">
        <w:rPr>
          <w:rFonts w:ascii="Calibri" w:eastAsia="Calibri" w:hAnsi="Calibri" w:cs="Times New Roman"/>
          <w:sz w:val="24"/>
          <w:szCs w:val="24"/>
          <w:lang w:val="en-US"/>
        </w:rPr>
        <w:t xml:space="preserve">“Speak Up Initiatives”. </w:t>
      </w:r>
      <w:r w:rsidRPr="007132D3">
        <w:rPr>
          <w:rFonts w:ascii="Calibri" w:eastAsia="Calibri" w:hAnsi="Calibri" w:cs="Times New Roman"/>
          <w:sz w:val="24"/>
          <w:szCs w:val="24"/>
        </w:rPr>
        <w:t xml:space="preserve">Recuperado de: </w:t>
      </w:r>
      <w:hyperlink r:id="rId14" w:history="1">
        <w:r w:rsidRPr="007132D3">
          <w:rPr>
            <w:rFonts w:ascii="Calibri" w:eastAsia="Calibri" w:hAnsi="Calibri" w:cs="Times New Roman"/>
            <w:sz w:val="24"/>
            <w:szCs w:val="24"/>
          </w:rPr>
          <w:t>https://www.jointcommission.org/speakup.aspx</w:t>
        </w:r>
      </w:hyperlink>
      <w:r w:rsidRPr="007132D3">
        <w:rPr>
          <w:rFonts w:ascii="Calibri" w:eastAsia="Calibri" w:hAnsi="Calibri" w:cs="Times New Roman"/>
          <w:sz w:val="24"/>
          <w:szCs w:val="24"/>
        </w:rPr>
        <w:t xml:space="preserve">   </w:t>
      </w:r>
    </w:p>
    <w:p w:rsidR="00751296" w:rsidRPr="009D1ECB" w:rsidRDefault="00751296" w:rsidP="00B02478">
      <w:pPr>
        <w:spacing w:after="0" w:line="360" w:lineRule="auto"/>
        <w:ind w:left="284" w:hanging="284"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proofErr w:type="spellStart"/>
      <w:r>
        <w:rPr>
          <w:rFonts w:ascii="Calibri" w:eastAsia="Calibri" w:hAnsi="Calibri" w:cs="Times New Roman"/>
          <w:sz w:val="24"/>
          <w:szCs w:val="24"/>
        </w:rPr>
        <w:t>The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Joint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Commission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Pr="00B02478">
        <w:rPr>
          <w:rFonts w:ascii="Calibri" w:eastAsia="Calibri" w:hAnsi="Calibri" w:cs="Times New Roman"/>
          <w:sz w:val="24"/>
          <w:szCs w:val="24"/>
        </w:rPr>
        <w:t xml:space="preserve">(2007). Preámbulo a las soluciones para la seguridad del paciente. </w:t>
      </w:r>
      <w:proofErr w:type="spellStart"/>
      <w:r w:rsidRPr="009D1ECB">
        <w:rPr>
          <w:rFonts w:ascii="Calibri" w:eastAsia="Calibri" w:hAnsi="Calibri" w:cs="Times New Roman"/>
          <w:sz w:val="24"/>
          <w:szCs w:val="24"/>
          <w:lang w:val="en-US"/>
        </w:rPr>
        <w:t>Recuperado</w:t>
      </w:r>
      <w:proofErr w:type="spellEnd"/>
      <w:r w:rsidRPr="009D1ECB">
        <w:rPr>
          <w:rFonts w:ascii="Calibri" w:eastAsia="Calibri" w:hAnsi="Calibri" w:cs="Times New Roman"/>
          <w:sz w:val="24"/>
          <w:szCs w:val="24"/>
          <w:lang w:val="en-US"/>
        </w:rPr>
        <w:t xml:space="preserve"> de:  </w:t>
      </w:r>
      <w:hyperlink r:id="rId15" w:history="1">
        <w:r w:rsidRPr="009D1ECB">
          <w:rPr>
            <w:rStyle w:val="Hipervnculo"/>
            <w:rFonts w:ascii="Calibri" w:eastAsia="Calibri" w:hAnsi="Calibri" w:cs="Times New Roman"/>
            <w:sz w:val="24"/>
            <w:szCs w:val="24"/>
            <w:lang w:val="en-US"/>
          </w:rPr>
          <w:t>https://www.jointcommissioninternational.org/assets/3/7/PatientSolutionsSpanish.pdf</w:t>
        </w:r>
      </w:hyperlink>
    </w:p>
    <w:p w:rsidR="00751296" w:rsidRPr="00C46E43" w:rsidRDefault="00751296" w:rsidP="00225A42">
      <w:pPr>
        <w:spacing w:after="0" w:line="360" w:lineRule="auto"/>
        <w:ind w:left="284" w:hanging="284"/>
        <w:jc w:val="both"/>
        <w:rPr>
          <w:rFonts w:ascii="Calibri" w:eastAsia="Calibri" w:hAnsi="Calibri" w:cs="Times New Roman"/>
          <w:sz w:val="24"/>
          <w:szCs w:val="24"/>
        </w:rPr>
      </w:pPr>
      <w:proofErr w:type="gramStart"/>
      <w:r>
        <w:rPr>
          <w:rFonts w:ascii="Calibri" w:eastAsia="Calibri" w:hAnsi="Calibri" w:cs="Times New Roman"/>
          <w:sz w:val="24"/>
          <w:szCs w:val="24"/>
          <w:lang w:val="en-US"/>
        </w:rPr>
        <w:t>The Lancet (2017).</w:t>
      </w:r>
      <w:proofErr w:type="gramEnd"/>
      <w:r>
        <w:rPr>
          <w:rFonts w:ascii="Calibri" w:eastAsia="Calibri" w:hAnsi="Calibri" w:cs="Times New Roman"/>
          <w:sz w:val="24"/>
          <w:szCs w:val="24"/>
          <w:lang w:val="en-US"/>
        </w:rPr>
        <w:t xml:space="preserve"> Medication without harm: WHO´s third global patient safety challenge. </w:t>
      </w:r>
      <w:r w:rsidRPr="00225A42">
        <w:rPr>
          <w:rFonts w:ascii="Calibri" w:eastAsia="Calibri" w:hAnsi="Calibri" w:cs="Times New Roman"/>
          <w:sz w:val="24"/>
          <w:szCs w:val="24"/>
        </w:rPr>
        <w:t>Recuperado de</w:t>
      </w:r>
      <w:r>
        <w:rPr>
          <w:rFonts w:ascii="Calibri" w:eastAsia="Calibri" w:hAnsi="Calibri" w:cs="Times New Roman"/>
          <w:sz w:val="24"/>
          <w:szCs w:val="24"/>
        </w:rPr>
        <w:t xml:space="preserve">: </w:t>
      </w:r>
      <w:hyperlink r:id="rId16" w:history="1">
        <w:r w:rsidRPr="00C46E43">
          <w:rPr>
            <w:rStyle w:val="Hipervnculo"/>
            <w:rFonts w:ascii="Calibri" w:eastAsia="Calibri" w:hAnsi="Calibri" w:cs="Times New Roman"/>
            <w:sz w:val="24"/>
            <w:szCs w:val="24"/>
          </w:rPr>
          <w:t>https://www.thelancet.com/pdfs/journals/lancet/PIIS0140-6736(17)31047-4.pdf</w:t>
        </w:r>
      </w:hyperlink>
      <w:r w:rsidRPr="00C46E43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E940FF" w:rsidRPr="00E940FF" w:rsidRDefault="00E940FF" w:rsidP="00577F14">
      <w:pPr>
        <w:spacing w:after="0" w:line="360" w:lineRule="auto"/>
        <w:ind w:left="284" w:hanging="284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Villafañe, J. (2004). La buena reputación: claves del valor intangible de las empresas. Madrid: Pirámide.</w:t>
      </w:r>
      <w:bookmarkStart w:id="0" w:name="_GoBack"/>
      <w:bookmarkEnd w:id="0"/>
    </w:p>
    <w:p w:rsidR="00751296" w:rsidRPr="009D1ECB" w:rsidRDefault="00751296" w:rsidP="00577F14">
      <w:pPr>
        <w:spacing w:after="0" w:line="360" w:lineRule="auto"/>
        <w:ind w:left="284" w:hanging="284"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proofErr w:type="gramStart"/>
      <w:r w:rsidRPr="009D1ECB">
        <w:rPr>
          <w:rFonts w:ascii="Calibri" w:eastAsia="Calibri" w:hAnsi="Calibri" w:cs="Times New Roman"/>
          <w:sz w:val="24"/>
          <w:szCs w:val="24"/>
          <w:lang w:val="en-US"/>
        </w:rPr>
        <w:t>WHO (2009).</w:t>
      </w:r>
      <w:proofErr w:type="gramEnd"/>
      <w:r w:rsidRPr="009D1ECB">
        <w:rPr>
          <w:rFonts w:ascii="Calibri" w:eastAsia="Calibri" w:hAnsi="Calibri" w:cs="Times New Roman"/>
          <w:sz w:val="24"/>
          <w:szCs w:val="24"/>
          <w:lang w:val="en-US"/>
        </w:rPr>
        <w:t xml:space="preserve"> WHO guidelines on hand hygiene in health care: first global patient safety challenge: clean care is safer care. Geneva: World Health Organization. </w:t>
      </w:r>
    </w:p>
    <w:p w:rsidR="00751296" w:rsidRPr="009D1ECB" w:rsidRDefault="00751296" w:rsidP="00577F14">
      <w:pPr>
        <w:spacing w:after="0" w:line="360" w:lineRule="auto"/>
        <w:ind w:left="284" w:hanging="284"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proofErr w:type="gramStart"/>
      <w:r w:rsidRPr="009D1ECB">
        <w:rPr>
          <w:rFonts w:ascii="Calibri" w:eastAsia="Calibri" w:hAnsi="Calibri" w:cs="Times New Roman"/>
          <w:sz w:val="24"/>
          <w:szCs w:val="24"/>
          <w:lang w:val="en-US"/>
        </w:rPr>
        <w:t>WHO (2012).</w:t>
      </w:r>
      <w:proofErr w:type="gramEnd"/>
      <w:r w:rsidRPr="009D1ECB">
        <w:rPr>
          <w:rFonts w:ascii="Calibri" w:eastAsia="Calibri" w:hAnsi="Calibri" w:cs="Times New Roman"/>
          <w:sz w:val="24"/>
          <w:szCs w:val="24"/>
          <w:lang w:val="en-US"/>
        </w:rPr>
        <w:t xml:space="preserve"> Save lives; clean your hands. Hand hygiene in outpatient and homebased care and long-term care facilities: a guide to the application of the WHO Multimodal Hand Hygiene Improvement Strategy and the “my five moments for hand hygiene” approach. Geneva: World Health Organization.  </w:t>
      </w:r>
    </w:p>
    <w:p w:rsidR="00751296" w:rsidRPr="00B02478" w:rsidRDefault="00751296" w:rsidP="00577F14">
      <w:pPr>
        <w:spacing w:after="0" w:line="360" w:lineRule="auto"/>
        <w:ind w:left="284" w:hanging="284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  <w:lang w:val="en-US"/>
        </w:rPr>
        <w:t>WHO (2017).</w:t>
      </w:r>
      <w:r w:rsidRPr="00475EE5">
        <w:rPr>
          <w:rFonts w:ascii="Calibri" w:eastAsia="Calibri" w:hAnsi="Calibri" w:cs="Times New Roman"/>
          <w:sz w:val="24"/>
          <w:szCs w:val="24"/>
          <w:lang w:val="en-US"/>
        </w:rPr>
        <w:t>WHO launches global effort to halve medication-related errors in</w:t>
      </w:r>
      <w:r>
        <w:rPr>
          <w:rFonts w:ascii="Calibri" w:eastAsia="Calibri" w:hAnsi="Calibri" w:cs="Times New Roman"/>
          <w:sz w:val="24"/>
          <w:szCs w:val="24"/>
          <w:lang w:val="en-US"/>
        </w:rPr>
        <w:t xml:space="preserve"> 5 years. </w:t>
      </w:r>
      <w:r w:rsidRPr="00743B76">
        <w:rPr>
          <w:rFonts w:ascii="Calibri" w:eastAsia="Calibri" w:hAnsi="Calibri" w:cs="Times New Roman"/>
          <w:sz w:val="24"/>
          <w:szCs w:val="24"/>
        </w:rPr>
        <w:t xml:space="preserve">Recuperado de </w:t>
      </w:r>
      <w:hyperlink r:id="rId17" w:history="1">
        <w:r w:rsidRPr="00743B76">
          <w:rPr>
            <w:rStyle w:val="Hipervnculo"/>
            <w:rFonts w:ascii="Calibri" w:eastAsia="Calibri" w:hAnsi="Calibri" w:cs="Times New Roman"/>
            <w:sz w:val="24"/>
            <w:szCs w:val="24"/>
          </w:rPr>
          <w:t>http://www.who.</w:t>
        </w:r>
        <w:r w:rsidRPr="00475EE5">
          <w:rPr>
            <w:rStyle w:val="Hipervnculo"/>
            <w:rFonts w:ascii="Calibri" w:eastAsia="Calibri" w:hAnsi="Calibri" w:cs="Times New Roman"/>
            <w:sz w:val="24"/>
            <w:szCs w:val="24"/>
          </w:rPr>
          <w:t>int/mediacentre/news/releases/2017/medication-related-errors/en/</w:t>
        </w:r>
      </w:hyperlink>
      <w:r w:rsidRPr="00475EE5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577F14" w:rsidRPr="00577F14" w:rsidRDefault="00577F14" w:rsidP="00577F14">
      <w:pPr>
        <w:spacing w:after="0" w:line="360" w:lineRule="auto"/>
        <w:ind w:left="284" w:hanging="284"/>
        <w:jc w:val="both"/>
        <w:rPr>
          <w:rFonts w:ascii="Calibri" w:eastAsia="Calibri" w:hAnsi="Calibri" w:cs="Times New Roman"/>
          <w:sz w:val="24"/>
          <w:szCs w:val="24"/>
        </w:rPr>
      </w:pPr>
    </w:p>
    <w:p w:rsidR="00B02478" w:rsidRPr="00AF4810" w:rsidRDefault="00B02478" w:rsidP="00801AD1">
      <w:pPr>
        <w:spacing w:after="0" w:line="360" w:lineRule="auto"/>
        <w:jc w:val="both"/>
      </w:pPr>
    </w:p>
    <w:sectPr w:rsidR="00B02478" w:rsidRPr="00AF48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eGothic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805E8"/>
    <w:multiLevelType w:val="hybridMultilevel"/>
    <w:tmpl w:val="ADAE72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F41"/>
    <w:rsid w:val="00056321"/>
    <w:rsid w:val="000B481D"/>
    <w:rsid w:val="002076C0"/>
    <w:rsid w:val="00225A42"/>
    <w:rsid w:val="0028518B"/>
    <w:rsid w:val="0029527A"/>
    <w:rsid w:val="002E17E4"/>
    <w:rsid w:val="00334FB7"/>
    <w:rsid w:val="00337F41"/>
    <w:rsid w:val="00471997"/>
    <w:rsid w:val="00475D14"/>
    <w:rsid w:val="00475EE5"/>
    <w:rsid w:val="00577F14"/>
    <w:rsid w:val="006D0A37"/>
    <w:rsid w:val="007132D3"/>
    <w:rsid w:val="00743B76"/>
    <w:rsid w:val="00751296"/>
    <w:rsid w:val="00801AD1"/>
    <w:rsid w:val="008618AF"/>
    <w:rsid w:val="008A26EB"/>
    <w:rsid w:val="008E5839"/>
    <w:rsid w:val="008F2791"/>
    <w:rsid w:val="009D1ECB"/>
    <w:rsid w:val="009F6458"/>
    <w:rsid w:val="00A164D1"/>
    <w:rsid w:val="00AF4810"/>
    <w:rsid w:val="00B02478"/>
    <w:rsid w:val="00B60CB9"/>
    <w:rsid w:val="00BA74D0"/>
    <w:rsid w:val="00BD7C52"/>
    <w:rsid w:val="00C46E43"/>
    <w:rsid w:val="00CA1E3E"/>
    <w:rsid w:val="00CE328B"/>
    <w:rsid w:val="00D8695E"/>
    <w:rsid w:val="00E940FF"/>
    <w:rsid w:val="00FD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A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01AD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024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A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01AD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02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usionismosocial.org/pluginfile.php/422/mod_resource/content/5/Reparto%20completo.pdf" TargetMode="External"/><Relationship Id="rId13" Type="http://schemas.openxmlformats.org/officeDocument/2006/relationships/hyperlink" Target="http://www.health.org.uk/sites/health/files/InvolvingPatientsInImprovingSafety.pdf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ahrq.gov/patients-consumers/care-planning/errors/20tips/20tipssp.html" TargetMode="External"/><Relationship Id="rId12" Type="http://schemas.openxmlformats.org/officeDocument/2006/relationships/hyperlink" Target="https://www.who.int/patientsafety/solutions/patientsafety/PatientSolutionsSPANISH.pdf?ua=1" TargetMode="External"/><Relationship Id="rId17" Type="http://schemas.openxmlformats.org/officeDocument/2006/relationships/hyperlink" Target="http://www.who.int/mediacentre/news/releases/2017/medication-related-errors/en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helancet.com/pdfs/journals/lancet/PIIS0140-6736(17)31047-4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ha.org/ahahret-guides/2015-03-26-partnering-improve-quality-and-safety-framework-working-patient-and" TargetMode="External"/><Relationship Id="rId11" Type="http://schemas.openxmlformats.org/officeDocument/2006/relationships/hyperlink" Target="https://dx.doi.org/10.4065%2Fmcp.2009.024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jointcommissioninternational.org/assets/3/7/PatientSolutionsSpanish.pdf" TargetMode="External"/><Relationship Id="rId10" Type="http://schemas.openxmlformats.org/officeDocument/2006/relationships/hyperlink" Target="https://doi.org/10.1136/bmj.39246.581169.8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ialnet.unirioja.es/ejemplar/93603" TargetMode="External"/><Relationship Id="rId14" Type="http://schemas.openxmlformats.org/officeDocument/2006/relationships/hyperlink" Target="https://www.jointcommission.org/speakup.asp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729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portatil</dc:creator>
  <cp:keywords/>
  <dc:description/>
  <cp:lastModifiedBy>portatil</cp:lastModifiedBy>
  <cp:revision>30</cp:revision>
  <dcterms:created xsi:type="dcterms:W3CDTF">2019-02-03T08:44:00Z</dcterms:created>
  <dcterms:modified xsi:type="dcterms:W3CDTF">2019-02-08T17:18:00Z</dcterms:modified>
</cp:coreProperties>
</file>